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7499" w:rsidRDefault="009844A5">
      <w:pPr>
        <w:widowControl/>
        <w:pBdr>
          <w:top w:val="nil"/>
          <w:left w:val="nil"/>
          <w:bottom w:val="nil"/>
          <w:right w:val="nil"/>
          <w:between w:val="nil"/>
        </w:pBdr>
        <w:spacing w:before="240" w:after="120"/>
        <w:rPr>
          <w:rFonts w:ascii="Arial" w:eastAsia="Arial" w:hAnsi="Arial" w:cs="Arial"/>
          <w:b/>
          <w:color w:val="000000"/>
          <w:sz w:val="36"/>
          <w:szCs w:val="36"/>
        </w:rPr>
      </w:pPr>
      <w:bookmarkStart w:id="0" w:name="_GoBack"/>
      <w:bookmarkEnd w:id="0"/>
      <w:r>
        <w:rPr>
          <w:rFonts w:ascii="Arial" w:eastAsia="Arial" w:hAnsi="Arial" w:cs="Arial"/>
          <w:b/>
          <w:color w:val="000000"/>
          <w:sz w:val="36"/>
          <w:szCs w:val="36"/>
        </w:rPr>
        <w:t>Framework Schedule 7 (Call-Off Award Procedure</w:t>
      </w:r>
      <w:bookmarkStart w:id="1" w:name="bookmark=id.gjdgxs" w:colFirst="0" w:colLast="0"/>
      <w:bookmarkEnd w:id="1"/>
      <w:r>
        <w:rPr>
          <w:rFonts w:ascii="Arial" w:eastAsia="Arial" w:hAnsi="Arial" w:cs="Arial"/>
          <w:b/>
          <w:color w:val="000000"/>
          <w:sz w:val="36"/>
          <w:szCs w:val="36"/>
        </w:rPr>
        <w:t xml:space="preserve">) </w:t>
      </w:r>
    </w:p>
    <w:p w:rsidR="00317499" w:rsidRDefault="009844A5">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Part 1: Order Procedure</w:t>
      </w:r>
    </w:p>
    <w:p w:rsidR="00317499" w:rsidRDefault="009844A5">
      <w:pPr>
        <w:keepNext/>
        <w:widowControl/>
        <w:numPr>
          <w:ilvl w:val="0"/>
          <w:numId w:val="3"/>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Call-Off Contract is awarded</w:t>
      </w:r>
    </w:p>
    <w:p w:rsidR="00317499" w:rsidRDefault="009844A5">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rsidR="00317499" w:rsidRDefault="009844A5">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If the potential Buyer can determine that:</w:t>
      </w: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Deliverables as set out in Framework Schedule 1 (Specification) and Framework Schedule 2 (Framework Tender); and</w:t>
      </w: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all of the terms of the proposed Call-Off Contract are laid down in this Contract and do not require amendment or any supplementary terms a</w:t>
      </w:r>
      <w:r>
        <w:rPr>
          <w:rFonts w:ascii="Arial" w:eastAsia="Arial" w:hAnsi="Arial" w:cs="Arial"/>
          <w:color w:val="000000"/>
          <w:sz w:val="24"/>
          <w:szCs w:val="24"/>
        </w:rPr>
        <w:t>nd conditions;</w:t>
      </w:r>
    </w:p>
    <w:p w:rsidR="00317499" w:rsidRDefault="009844A5">
      <w:pPr>
        <w:widowControl/>
        <w:pBdr>
          <w:top w:val="nil"/>
          <w:left w:val="nil"/>
          <w:bottom w:val="nil"/>
          <w:right w:val="nil"/>
          <w:between w:val="nil"/>
        </w:pBdr>
        <w:tabs>
          <w:tab w:val="left" w:pos="4536"/>
        </w:tabs>
        <w:spacing w:after="220"/>
        <w:ind w:left="936"/>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procedure set out in Paragraph 2 below.</w:t>
      </w:r>
    </w:p>
    <w:p w:rsidR="00317499" w:rsidRDefault="009844A5">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If all of the terms of the proposed Call-Off Contract are not laid down in this Contract and the potential Buyer:</w:t>
      </w: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requires the Suppli</w:t>
      </w:r>
      <w:r>
        <w:rPr>
          <w:rFonts w:ascii="Arial" w:eastAsia="Arial" w:hAnsi="Arial" w:cs="Arial"/>
          <w:color w:val="000000"/>
          <w:sz w:val="24"/>
          <w:szCs w:val="24"/>
        </w:rPr>
        <w:t>er to develop proposals or a solution in respect of such Deliverables; and/or</w:t>
      </w: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needs to amend or refine the terms of the Framework Contract to reflect its Deliverables to the extent permitted by and in accordance with the Regulations;</w:t>
      </w:r>
    </w:p>
    <w:p w:rsidR="00317499" w:rsidRDefault="009844A5">
      <w:pPr>
        <w:widowControl/>
        <w:pBdr>
          <w:top w:val="nil"/>
          <w:left w:val="nil"/>
          <w:bottom w:val="nil"/>
          <w:right w:val="nil"/>
          <w:between w:val="nil"/>
        </w:pBdr>
        <w:tabs>
          <w:tab w:val="left" w:pos="4536"/>
        </w:tabs>
        <w:spacing w:after="220"/>
        <w:ind w:left="900"/>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Further Competition Procedure set out in Paragraph 3 below.</w:t>
      </w:r>
    </w:p>
    <w:p w:rsidR="00317499" w:rsidRDefault="009844A5">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direct award works</w:t>
      </w:r>
    </w:p>
    <w:p w:rsidR="00317499" w:rsidRDefault="009844A5">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Subject to Paragraph 1.2 above the Buyer awarding a Call-Off Contract under this Contract without holdi</w:t>
      </w:r>
      <w:r>
        <w:rPr>
          <w:rFonts w:ascii="Arial" w:eastAsia="Arial" w:hAnsi="Arial" w:cs="Arial"/>
          <w:color w:val="000000"/>
          <w:sz w:val="24"/>
          <w:szCs w:val="24"/>
        </w:rPr>
        <w:t>ng a further competition shall:</w:t>
      </w: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develop a clear Statement of Requirements;</w:t>
      </w: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direct award criteria to the Deliverables as set out in Framework Schedule 1 (Specification) and Framework Schedule 2 (Framework Tender)</w:t>
      </w:r>
      <w:r>
        <w:rPr>
          <w:rFonts w:ascii="Arial" w:eastAsia="Arial" w:hAnsi="Arial" w:cs="Arial"/>
          <w:color w:val="000000"/>
          <w:sz w:val="24"/>
          <w:szCs w:val="24"/>
        </w:rPr>
        <w:t xml:space="preserve"> for all Suppliers capable of meeting the Statement of Requirements in order to establish which Supplier provides the most economically advantageous solution; and</w:t>
      </w: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on the basis set out above, award the Call-Off Contract with the successful Supplier in accor</w:t>
      </w:r>
      <w:r>
        <w:rPr>
          <w:rFonts w:ascii="Arial" w:eastAsia="Arial" w:hAnsi="Arial" w:cs="Arial"/>
          <w:color w:val="000000"/>
          <w:sz w:val="24"/>
          <w:szCs w:val="24"/>
        </w:rPr>
        <w:t>dance with Paragraph 6 below.</w:t>
      </w:r>
    </w:p>
    <w:p w:rsidR="00317499" w:rsidRDefault="00317499">
      <w:pPr>
        <w:widowControl/>
        <w:pBdr>
          <w:top w:val="nil"/>
          <w:left w:val="nil"/>
          <w:bottom w:val="nil"/>
          <w:right w:val="nil"/>
          <w:between w:val="nil"/>
        </w:pBdr>
        <w:tabs>
          <w:tab w:val="left" w:pos="3641"/>
        </w:tabs>
        <w:spacing w:before="120" w:after="120"/>
        <w:ind w:left="1985"/>
        <w:rPr>
          <w:rFonts w:ascii="Arial" w:eastAsia="Arial" w:hAnsi="Arial" w:cs="Arial"/>
          <w:color w:val="000000"/>
          <w:sz w:val="24"/>
          <w:szCs w:val="24"/>
        </w:rPr>
      </w:pPr>
    </w:p>
    <w:p w:rsidR="00317499" w:rsidRDefault="009844A5">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How a further competition works</w:t>
      </w:r>
    </w:p>
    <w:p w:rsidR="00317499" w:rsidRDefault="009844A5">
      <w:pPr>
        <w:keepNext/>
        <w:widowControl/>
        <w:pBdr>
          <w:top w:val="nil"/>
          <w:left w:val="nil"/>
          <w:bottom w:val="nil"/>
          <w:right w:val="nil"/>
          <w:between w:val="nil"/>
        </w:pBdr>
        <w:tabs>
          <w:tab w:val="left" w:pos="3054"/>
        </w:tabs>
        <w:spacing w:before="120" w:after="120"/>
        <w:ind w:left="1134" w:hanging="774"/>
        <w:rPr>
          <w:rFonts w:ascii="Arial" w:eastAsia="Arial" w:hAnsi="Arial" w:cs="Arial"/>
          <w:b/>
          <w:color w:val="000000"/>
          <w:sz w:val="24"/>
          <w:szCs w:val="24"/>
        </w:rPr>
      </w:pPr>
      <w:r>
        <w:rPr>
          <w:rFonts w:ascii="Arial" w:eastAsia="Arial" w:hAnsi="Arial" w:cs="Arial"/>
          <w:b/>
          <w:color w:val="000000"/>
          <w:sz w:val="24"/>
          <w:szCs w:val="24"/>
        </w:rPr>
        <w:t>What the Buyer has to do</w:t>
      </w:r>
    </w:p>
    <w:p w:rsidR="00317499" w:rsidRDefault="009844A5">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awarding a Call-Off Contract under this Contract through a Further Competition Procedure shall:</w:t>
      </w: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develop a Statement of Requirements setting out its requirements for the Deliverables and identify the Suppliers capable of supplying the them;</w:t>
      </w: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amend or refine the Deliverables to reflect its requirements by using the Order Form only to the extent permitte</w:t>
      </w:r>
      <w:r>
        <w:rPr>
          <w:rFonts w:ascii="Arial" w:eastAsia="Arial" w:hAnsi="Arial" w:cs="Arial"/>
          <w:color w:val="000000"/>
          <w:sz w:val="24"/>
          <w:szCs w:val="24"/>
        </w:rPr>
        <w:t>d by and in accordance with the requirements of the Regulations;</w:t>
      </w:r>
    </w:p>
    <w:p w:rsidR="00317499" w:rsidRDefault="009844A5">
      <w:pPr>
        <w:keepNext/>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invite tenders by conducting a Further Competition Procedure for its Deliverables in accordance with the Regulations and in particular:</w:t>
      </w:r>
    </w:p>
    <w:p w:rsidR="00317499" w:rsidRDefault="009844A5">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(as defined in Paragraph 7 below) is to be held, the Buyer shall notify the Suppliers identified in accordance with Paragraph 3.1.1 and shall conduct the Further Competition Procedure in accordance with the procedures set o</w:t>
      </w:r>
      <w:r>
        <w:rPr>
          <w:rFonts w:ascii="Arial" w:eastAsia="Arial" w:hAnsi="Arial" w:cs="Arial"/>
          <w:color w:val="000000"/>
          <w:sz w:val="24"/>
          <w:szCs w:val="24"/>
        </w:rPr>
        <w:t>ut in Paragraph 3; or</w:t>
      </w:r>
    </w:p>
    <w:p w:rsidR="00317499" w:rsidRDefault="009844A5">
      <w:pPr>
        <w:keepNext/>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is not used, the Buyer shall:</w:t>
      </w:r>
    </w:p>
    <w:p w:rsidR="00317499" w:rsidRDefault="009844A5">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invite the Suppliers identified in accordance with Paragraph 3.1.1 to submit a tender in writing for each proposed Call-Off Contract to be awarded by giving written notice by email to the relevant Supplier Representative of each Supplier;</w:t>
      </w:r>
    </w:p>
    <w:p w:rsidR="00317499" w:rsidRDefault="009844A5">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 xml:space="preserve">set a time limit </w:t>
      </w:r>
      <w:r>
        <w:rPr>
          <w:rFonts w:ascii="Arial" w:eastAsia="Arial" w:hAnsi="Arial" w:cs="Arial"/>
          <w:color w:val="000000"/>
          <w:sz w:val="24"/>
          <w:szCs w:val="24"/>
        </w:rPr>
        <w:t>for the receipt by it of the tenders which takes into account factors such as the complexity of the subject matter of the proposed Call-Off Contract and the time needed to submit tenders; and</w:t>
      </w:r>
    </w:p>
    <w:p w:rsidR="00317499" w:rsidRDefault="009844A5">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keep each tender confidential until the time limit set out for t</w:t>
      </w:r>
      <w:r>
        <w:rPr>
          <w:rFonts w:ascii="Arial" w:eastAsia="Arial" w:hAnsi="Arial" w:cs="Arial"/>
          <w:color w:val="000000"/>
          <w:sz w:val="24"/>
          <w:szCs w:val="24"/>
        </w:rPr>
        <w:t>he return of tenders has expired.</w:t>
      </w: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further competition award criteria to the Suppliers' compliant tenders submitted through the Further Competition Procedure as the basis of its decision to award a Call-Off Contract for its Deliverables;</w:t>
      </w:r>
    </w:p>
    <w:p w:rsidR="00317499" w:rsidRDefault="009844A5">
      <w:pPr>
        <w:keepNext/>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on the ba</w:t>
      </w:r>
      <w:r>
        <w:rPr>
          <w:rFonts w:ascii="Arial" w:eastAsia="Arial" w:hAnsi="Arial" w:cs="Arial"/>
          <w:color w:val="000000"/>
          <w:sz w:val="24"/>
          <w:szCs w:val="24"/>
        </w:rPr>
        <w:t>sis set out above, award its Call-Off Contract to the successful Supplier in accordance with Paragraph 6. The Call-Off Contract shall:</w:t>
      </w:r>
    </w:p>
    <w:p w:rsidR="00317499" w:rsidRDefault="009844A5">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Deliverables;</w:t>
      </w:r>
    </w:p>
    <w:p w:rsidR="00317499" w:rsidRDefault="009844A5">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rsidR="00317499" w:rsidRDefault="009844A5">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Charges payable for the Deliverables in accordance with the tender submitted by the successful Supplier; and</w:t>
      </w:r>
    </w:p>
    <w:p w:rsidR="00317499" w:rsidRDefault="009844A5">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lastRenderedPageBreak/>
        <w:t>incorporate the terms [of the Order Form and Contract] (as may be amended or refined by the Buyer in accordance with Paragraph 3.1.2. abo</w:t>
      </w:r>
      <w:r>
        <w:rPr>
          <w:rFonts w:ascii="Arial" w:eastAsia="Arial" w:hAnsi="Arial" w:cs="Arial"/>
          <w:color w:val="000000"/>
          <w:sz w:val="24"/>
          <w:szCs w:val="24"/>
        </w:rPr>
        <w:t>ve) applicable to the Deliverables,</w:t>
      </w: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provide unsuccessful Suppliers with written feedback in relation to the reasons why their tenders were unsuccessful.</w:t>
      </w:r>
    </w:p>
    <w:p w:rsidR="00317499" w:rsidRDefault="009844A5">
      <w:pPr>
        <w:keepNext/>
        <w:widowControl/>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b/>
          <w:color w:val="000000"/>
          <w:sz w:val="24"/>
          <w:szCs w:val="24"/>
        </w:rPr>
        <w:t>What the Supplier has to do</w:t>
      </w:r>
    </w:p>
    <w:p w:rsidR="00317499" w:rsidRDefault="009844A5">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color w:val="000000"/>
          <w:sz w:val="24"/>
          <w:szCs w:val="24"/>
        </w:rPr>
        <w:t>The Supplier shall in writing, by the time and date specified by the Buyer following an invitation to tender pursuant to Paragraph 3.1.3 above, provide CCS and the Buyer with either:</w:t>
      </w:r>
    </w:p>
    <w:p w:rsidR="00317499" w:rsidRDefault="00317499">
      <w:pPr>
        <w:widowControl/>
        <w:pBdr>
          <w:top w:val="nil"/>
          <w:left w:val="nil"/>
          <w:bottom w:val="nil"/>
          <w:right w:val="nil"/>
          <w:between w:val="nil"/>
        </w:pBdr>
        <w:tabs>
          <w:tab w:val="left" w:pos="3641"/>
        </w:tabs>
        <w:spacing w:before="120" w:after="120"/>
        <w:rPr>
          <w:rFonts w:ascii="Arial" w:eastAsia="Arial" w:hAnsi="Arial" w:cs="Arial"/>
          <w:color w:val="000000"/>
          <w:sz w:val="24"/>
          <w:szCs w:val="24"/>
        </w:rPr>
      </w:pP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statement to the effect that it does not wish to tender in relation to</w:t>
      </w:r>
      <w:r>
        <w:rPr>
          <w:rFonts w:ascii="Arial" w:eastAsia="Arial" w:hAnsi="Arial" w:cs="Arial"/>
          <w:color w:val="000000"/>
          <w:sz w:val="24"/>
          <w:szCs w:val="24"/>
        </w:rPr>
        <w:t xml:space="preserve"> the Deliverables; or</w:t>
      </w:r>
    </w:p>
    <w:p w:rsidR="00317499" w:rsidRDefault="009844A5">
      <w:pPr>
        <w:keepNext/>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full details of its tender made in respect of the relevant Statement of Requirements. In the event that the Supplier submits such a tender, it should include, as a minimum:</w:t>
      </w:r>
    </w:p>
    <w:p w:rsidR="00317499" w:rsidRDefault="009844A5">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an email response subject line to comprise unique reference number and Supplier name, so as to clearly identify the Supplier;</w:t>
      </w:r>
    </w:p>
    <w:p w:rsidR="00317499" w:rsidRDefault="009844A5">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brief summary, in the email (followed by a confirmation letter), stating that the Supplier is bidding for the Statement of Requi</w:t>
      </w:r>
      <w:r>
        <w:rPr>
          <w:rFonts w:ascii="Arial" w:eastAsia="Arial" w:hAnsi="Arial" w:cs="Arial"/>
          <w:color w:val="000000"/>
          <w:sz w:val="24"/>
          <w:szCs w:val="24"/>
        </w:rPr>
        <w:t>rements;</w:t>
      </w:r>
    </w:p>
    <w:p w:rsidR="00317499" w:rsidRDefault="009844A5">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proposal covering the Deliverables;</w:t>
      </w:r>
    </w:p>
    <w:p w:rsidR="00317499" w:rsidRDefault="009844A5">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CVs of key staff – as a minimum any lead consultant, with others, as considered appropriate along with required staff levels (if necessary); and</w:t>
      </w:r>
    </w:p>
    <w:p w:rsidR="00317499" w:rsidRDefault="009844A5">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confirmation of discounts applicable to the Deliverables, as ref</w:t>
      </w:r>
      <w:r>
        <w:rPr>
          <w:rFonts w:ascii="Arial" w:eastAsia="Arial" w:hAnsi="Arial" w:cs="Arial"/>
          <w:color w:val="000000"/>
          <w:sz w:val="24"/>
          <w:szCs w:val="24"/>
        </w:rPr>
        <w:t>erenced in Framework Schedule 3 (Framework Prices) (if applicable).</w:t>
      </w: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shall ensure that any prices submitted in relation to a Further Competition Procedure held pursuant to this Paragraph 3 shall be based on the charging structure and take into </w:t>
      </w:r>
      <w:r>
        <w:rPr>
          <w:rFonts w:ascii="Arial" w:eastAsia="Arial" w:hAnsi="Arial" w:cs="Arial"/>
          <w:color w:val="000000"/>
          <w:sz w:val="24"/>
          <w:szCs w:val="24"/>
        </w:rPr>
        <w:t>account any discount to which the Buyer may be entitled as set out in Framework Schedule 3 (Framework Prices).</w:t>
      </w:r>
    </w:p>
    <w:p w:rsidR="00317499" w:rsidRDefault="009844A5">
      <w:pPr>
        <w:keepNext/>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agrees that:</w:t>
      </w:r>
    </w:p>
    <w:p w:rsidR="00317499" w:rsidRDefault="009844A5">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all tenders submitted by the Supplier in relation to a Further Competition Procedure held pursuant to this Paragraph 3 shall remain open for acceptance by the Buyer for ninety (90) Working Days (or such other period specified in the invitation to tender is</w:t>
      </w:r>
      <w:r>
        <w:rPr>
          <w:rFonts w:ascii="Arial" w:eastAsia="Arial" w:hAnsi="Arial" w:cs="Arial"/>
          <w:color w:val="000000"/>
          <w:sz w:val="24"/>
          <w:szCs w:val="24"/>
        </w:rPr>
        <w:t>sued by the Buyer in accordance with the Call-Off Procedure); and</w:t>
      </w:r>
    </w:p>
    <w:p w:rsidR="00317499" w:rsidRDefault="009844A5">
      <w:pPr>
        <w:widowControl/>
        <w:numPr>
          <w:ilvl w:val="3"/>
          <w:numId w:val="2"/>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all tenders submitted by the Supplier are made and will be made in good faith and that the Supplier has not fixed or adjusted and will not  fix or adjust the price of the tender by or in acc</w:t>
      </w:r>
      <w:r>
        <w:rPr>
          <w:rFonts w:ascii="Arial" w:eastAsia="Arial" w:hAnsi="Arial" w:cs="Arial"/>
          <w:color w:val="000000"/>
          <w:sz w:val="24"/>
          <w:szCs w:val="24"/>
        </w:rPr>
        <w:t>ordance with any agreement or arrangement with any other person. The Supplier certifies that it has not and undertakes that it will not:</w:t>
      </w:r>
    </w:p>
    <w:p w:rsidR="00317499" w:rsidRDefault="009844A5">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 xml:space="preserve">communicate to any person other than the person inviting these tenders the amount or approximate amount of the tender, </w:t>
      </w:r>
      <w:r>
        <w:rPr>
          <w:rFonts w:ascii="Arial" w:eastAsia="Arial" w:hAnsi="Arial" w:cs="Arial"/>
          <w:color w:val="000000"/>
          <w:sz w:val="24"/>
          <w:szCs w:val="24"/>
        </w:rPr>
        <w:t>except where the disclosure, in confidence, of the approximate amount of the tender was necessary to obtain quotations required for the preparation of the tender; and</w:t>
      </w:r>
    </w:p>
    <w:p w:rsidR="00317499" w:rsidRDefault="009844A5">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enter into any arrangement or agreement with any other person that he or the other person</w:t>
      </w:r>
      <w:r>
        <w:rPr>
          <w:rFonts w:ascii="Arial" w:eastAsia="Arial" w:hAnsi="Arial" w:cs="Arial"/>
          <w:color w:val="000000"/>
          <w:sz w:val="24"/>
          <w:szCs w:val="24"/>
        </w:rPr>
        <w:t>(s) shall refrain from submitting a tender or as to the amount of any tenders to be submitted.</w:t>
      </w:r>
    </w:p>
    <w:p w:rsidR="00317499" w:rsidRDefault="009844A5">
      <w:pPr>
        <w:keepNext/>
        <w:widowControl/>
        <w:numPr>
          <w:ilvl w:val="0"/>
          <w:numId w:val="2"/>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No requirement to award</w:t>
      </w:r>
    </w:p>
    <w:p w:rsidR="00317499" w:rsidRDefault="009844A5">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fact that the Buyer has followed a procedure as set out above in Paragraph 2 or 3 (as applicable), the Supplier acknowledges and agrees that the Buyer shall be entitled at all times to decline to make an award for its Deliverables and t</w:t>
      </w:r>
      <w:r>
        <w:rPr>
          <w:rFonts w:ascii="Arial" w:eastAsia="Arial" w:hAnsi="Arial" w:cs="Arial"/>
          <w:color w:val="000000"/>
          <w:sz w:val="24"/>
          <w:szCs w:val="24"/>
        </w:rPr>
        <w:t>hat nothing in this Contract shall oblige the Buyer to award any Call-Off Contract.</w:t>
      </w:r>
    </w:p>
    <w:p w:rsidR="00317499" w:rsidRDefault="009844A5">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Who is responsible for the award</w:t>
      </w:r>
    </w:p>
    <w:p w:rsidR="00317499" w:rsidRDefault="009844A5">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that the Buyer is independently responsible for the conduct of its award of Call-Off Contracts under this Contrac</w:t>
      </w:r>
      <w:r>
        <w:rPr>
          <w:rFonts w:ascii="Arial" w:eastAsia="Arial" w:hAnsi="Arial" w:cs="Arial"/>
          <w:color w:val="000000"/>
          <w:sz w:val="24"/>
          <w:szCs w:val="24"/>
        </w:rPr>
        <w:t>t and that CCS is not responsible or accountable for and shall have no liability whatsoever, except where it is the Buyer, in relation to:</w:t>
      </w: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conduct of Buyer in relation to this Contract; or</w:t>
      </w: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performance or non-performance of any Call-Off Contracts be</w:t>
      </w:r>
      <w:r>
        <w:rPr>
          <w:rFonts w:ascii="Arial" w:eastAsia="Arial" w:hAnsi="Arial" w:cs="Arial"/>
          <w:color w:val="000000"/>
          <w:sz w:val="24"/>
          <w:szCs w:val="24"/>
        </w:rPr>
        <w:t>tween the Supplier and Buyer entered into pursuant to this Contract.</w:t>
      </w:r>
    </w:p>
    <w:p w:rsidR="00317499" w:rsidRDefault="009844A5">
      <w:pPr>
        <w:keepNext/>
        <w:widowControl/>
        <w:numPr>
          <w:ilvl w:val="0"/>
          <w:numId w:val="2"/>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Awarding and creating a Call-Off Contract</w:t>
      </w:r>
    </w:p>
    <w:p w:rsidR="00317499" w:rsidRDefault="009844A5">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 xml:space="preserve">Subject to Paragraphs 1 to 5 above and 7, a Buyer may award a Call-Off Contract with the Supplier by sending (including electronically) a signed </w:t>
      </w:r>
      <w:r>
        <w:rPr>
          <w:rFonts w:ascii="Arial" w:eastAsia="Arial" w:hAnsi="Arial" w:cs="Arial"/>
          <w:color w:val="000000"/>
          <w:sz w:val="24"/>
          <w:szCs w:val="24"/>
        </w:rPr>
        <w:t>order form substantially in the form (as may be amended or refined by the Buyer in accordance with Paragraph 3.1.2 above) of the Order Form Template set out in Framework Schedule 6a Further Competition (Order Form Template and Call-Off Schedules)  and 6b D</w:t>
      </w:r>
      <w:r>
        <w:rPr>
          <w:rFonts w:ascii="Arial" w:eastAsia="Arial" w:hAnsi="Arial" w:cs="Arial"/>
          <w:color w:val="000000"/>
          <w:sz w:val="24"/>
          <w:szCs w:val="24"/>
        </w:rPr>
        <w:t>irect Award (Order Form Template and Call-Off Schedules).</w:t>
      </w:r>
    </w:p>
    <w:p w:rsidR="00317499" w:rsidRDefault="009844A5">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Parties agree that any document or communication (including any document or communication in the apparent form of a Call-Off Contract) which is not as described in this Paragraph 6 shall not con</w:t>
      </w:r>
      <w:r>
        <w:rPr>
          <w:rFonts w:ascii="Arial" w:eastAsia="Arial" w:hAnsi="Arial" w:cs="Arial"/>
          <w:color w:val="000000"/>
          <w:sz w:val="24"/>
          <w:szCs w:val="24"/>
        </w:rPr>
        <w:t>stitute a Call-Off Contract under this Contract.</w:t>
      </w:r>
    </w:p>
    <w:p w:rsidR="00317499" w:rsidRDefault="009844A5">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On receipt of an order form as described in Paragraph 6.1 from a Buyer the Supplier shall accept the Call-Off Contract by promptly signing and returning (including by electronic means) a copy of the order fo</w:t>
      </w:r>
      <w:r>
        <w:rPr>
          <w:rFonts w:ascii="Arial" w:eastAsia="Arial" w:hAnsi="Arial" w:cs="Arial"/>
          <w:color w:val="000000"/>
          <w:sz w:val="24"/>
          <w:szCs w:val="24"/>
        </w:rPr>
        <w:t>rm to the Buyer concerned.</w:t>
      </w:r>
    </w:p>
    <w:p w:rsidR="00317499" w:rsidRDefault="009844A5">
      <w:pPr>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On receipt of the countersigned Order Form from the Supplier, the Buyer shall send (including by electronic means) a written notice of receipt to the Supplier within two (2) Working Days and the Call Off Contract shall be formed with effect from the Call O</w:t>
      </w:r>
      <w:r>
        <w:rPr>
          <w:rFonts w:ascii="Arial" w:eastAsia="Arial" w:hAnsi="Arial" w:cs="Arial"/>
          <w:color w:val="000000"/>
          <w:sz w:val="24"/>
          <w:szCs w:val="24"/>
        </w:rPr>
        <w:t>ff Start Date stated in the Order Form.</w:t>
      </w:r>
    </w:p>
    <w:p w:rsidR="00317499" w:rsidRDefault="009844A5">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Awarding and creating an Exempt Call-off Contract</w:t>
      </w:r>
    </w:p>
    <w:p w:rsidR="00317499" w:rsidRDefault="009844A5">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Paragraph 1 above shall not apply to an Exempt Buyer.</w:t>
      </w:r>
    </w:p>
    <w:p w:rsidR="00317499" w:rsidRDefault="009844A5">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 If a potential Exempt Buyer decides to source Deliverables through this Framework Contract, it will award an Ex</w:t>
      </w:r>
      <w:r>
        <w:rPr>
          <w:rFonts w:ascii="Arial" w:eastAsia="Arial" w:hAnsi="Arial" w:cs="Arial"/>
          <w:color w:val="000000"/>
          <w:sz w:val="24"/>
          <w:szCs w:val="24"/>
        </w:rPr>
        <w:t>empt Call-off Contract for Deliverables in accordance with the procedure in this Schedule as modified by this Paragraph 8 and in accordance with any legal requirements applicable to that potential Exempt Buyer.</w:t>
      </w:r>
    </w:p>
    <w:p w:rsidR="00317499" w:rsidRDefault="009844A5">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potential Exempt Buyer may award an Exempt </w:t>
      </w:r>
      <w:r>
        <w:rPr>
          <w:rFonts w:ascii="Arial" w:eastAsia="Arial" w:hAnsi="Arial" w:cs="Arial"/>
          <w:color w:val="000000"/>
          <w:sz w:val="24"/>
          <w:szCs w:val="24"/>
        </w:rPr>
        <w:t>Call-off Contract under this Framework Contract without holding a further competition in accordance with Paragraph 2 above as modified by Paragraph 8.4 below or through a Further Competition Procedure in accordance with Paragraph 3 as modified by Paragraph</w:t>
      </w:r>
      <w:r>
        <w:rPr>
          <w:rFonts w:ascii="Arial" w:eastAsia="Arial" w:hAnsi="Arial" w:cs="Arial"/>
          <w:color w:val="000000"/>
          <w:sz w:val="24"/>
          <w:szCs w:val="24"/>
        </w:rPr>
        <w:t xml:space="preserve"> 8.5 below.</w:t>
      </w:r>
    </w:p>
    <w:p w:rsidR="00317499" w:rsidRDefault="009844A5">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procedure set out in Paragraph 2 above, if the potential Exempt Buyer can determine that:</w:t>
      </w: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Deliverables can be met by as set out in Framework Schedule 1 (Specification) and Framework Schedule 2 (Framework Tender); and</w:t>
      </w:r>
    </w:p>
    <w:p w:rsidR="00317499" w:rsidRDefault="009844A5">
      <w:pPr>
        <w:widowControl/>
        <w:numPr>
          <w:ilvl w:val="2"/>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will accept any required Exempt Procurement Amendments,</w:t>
      </w:r>
    </w:p>
    <w:p w:rsidR="00317499" w:rsidRDefault="009844A5">
      <w:pPr>
        <w:widowControl/>
        <w:pBdr>
          <w:top w:val="nil"/>
          <w:left w:val="nil"/>
          <w:bottom w:val="nil"/>
          <w:right w:val="nil"/>
          <w:between w:val="nil"/>
        </w:pBdr>
        <w:tabs>
          <w:tab w:val="left" w:pos="3641"/>
        </w:tabs>
        <w:spacing w:before="120" w:after="120"/>
        <w:ind w:left="1890"/>
        <w:rPr>
          <w:rFonts w:ascii="Arial" w:eastAsia="Arial" w:hAnsi="Arial" w:cs="Arial"/>
          <w:color w:val="000000"/>
          <w:sz w:val="24"/>
          <w:szCs w:val="24"/>
        </w:rPr>
      </w:pPr>
      <w:r>
        <w:rPr>
          <w:rFonts w:ascii="Arial" w:eastAsia="Arial" w:hAnsi="Arial" w:cs="Arial"/>
          <w:color w:val="000000"/>
          <w:sz w:val="24"/>
          <w:szCs w:val="24"/>
        </w:rPr>
        <w:t>then the Exempt Buyer may award an Exempt Call-off Contract to that Supplier in accordance with Paragraph 6 above.</w:t>
      </w:r>
    </w:p>
    <w:p w:rsidR="00317499" w:rsidRDefault="009844A5">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If the potential Exempt Buyer requires the Supplier to develop proposals</w:t>
      </w:r>
      <w:r>
        <w:rPr>
          <w:rFonts w:ascii="Arial" w:eastAsia="Arial" w:hAnsi="Arial" w:cs="Arial"/>
          <w:color w:val="000000"/>
          <w:sz w:val="24"/>
          <w:szCs w:val="24"/>
        </w:rPr>
        <w:t xml:space="preserve"> or a solution in respect of Deliverables, then the potential Exempt Buyer may at its discretion use the procedure set out in Paragraph 3 above as modified by this Paragraph 8.5. In that case, references to “the Regulations” in Paragraph 3 above shall be r</w:t>
      </w:r>
      <w:r>
        <w:rPr>
          <w:rFonts w:ascii="Arial" w:eastAsia="Arial" w:hAnsi="Arial" w:cs="Arial"/>
          <w:color w:val="000000"/>
          <w:sz w:val="24"/>
          <w:szCs w:val="24"/>
        </w:rPr>
        <w:t>ead as references to “any legal requirements applicable to that potential Exempt Buyer”, and the Exempt Buyer shall be permitted to modify the Further Competition Procedure in accordance with any legal requirements applicable to the Exempt Buyer.</w:t>
      </w:r>
    </w:p>
    <w:p w:rsidR="00317499" w:rsidRDefault="009844A5">
      <w:pPr>
        <w:keepNext/>
        <w:widowControl/>
        <w:numPr>
          <w:ilvl w:val="1"/>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9" w:name="_heading=h.3rdcrjn" w:colFirst="0" w:colLast="0"/>
      <w:bookmarkEnd w:id="9"/>
      <w:r>
        <w:rPr>
          <w:rFonts w:ascii="Arial" w:eastAsia="Arial" w:hAnsi="Arial" w:cs="Arial"/>
          <w:color w:val="000000"/>
          <w:sz w:val="24"/>
          <w:szCs w:val="24"/>
        </w:rPr>
        <w:t>Paragraph</w:t>
      </w:r>
      <w:r>
        <w:rPr>
          <w:rFonts w:ascii="Arial" w:eastAsia="Arial" w:hAnsi="Arial" w:cs="Arial"/>
          <w:color w:val="000000"/>
          <w:sz w:val="24"/>
          <w:szCs w:val="24"/>
        </w:rPr>
        <w:t>s 8.1 to 8.5 above are without prejudice to an Exempt Buyer’s ability to make such further modifications to the Call-Off Procedure as it considers necessary and in accordance with any legal requirements applicable to that potential Exempt Buyer.</w:t>
      </w:r>
    </w:p>
    <w:p w:rsidR="00317499" w:rsidRDefault="009844A5">
      <w:pPr>
        <w:rPr>
          <w:rFonts w:ascii="Arial" w:eastAsia="Arial" w:hAnsi="Arial" w:cs="Arial"/>
          <w:sz w:val="24"/>
          <w:szCs w:val="24"/>
        </w:rPr>
      </w:pPr>
      <w:r>
        <w:br w:type="page"/>
      </w:r>
    </w:p>
    <w:p w:rsidR="00317499" w:rsidRDefault="00317499">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24"/>
          <w:szCs w:val="24"/>
        </w:rPr>
      </w:pPr>
    </w:p>
    <w:p w:rsidR="00317499" w:rsidRDefault="009844A5">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36"/>
          <w:szCs w:val="36"/>
        </w:rPr>
      </w:pPr>
      <w:r>
        <w:rPr>
          <w:rFonts w:ascii="Arial" w:eastAsia="Arial" w:hAnsi="Arial" w:cs="Arial"/>
          <w:b/>
          <w:color w:val="000000"/>
          <w:sz w:val="36"/>
          <w:szCs w:val="36"/>
        </w:rPr>
        <w:t>Part 2: Award Criteria</w:t>
      </w:r>
    </w:p>
    <w:p w:rsidR="00317499" w:rsidRDefault="009844A5">
      <w:pPr>
        <w:widowControl/>
        <w:numPr>
          <w:ilvl w:val="0"/>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This Part 2 lays out award criteria for direct award (Annex A) and for further competition (Annex B) in accordance with the Call-Off Procedure.</w:t>
      </w:r>
    </w:p>
    <w:p w:rsidR="00317499" w:rsidRDefault="009844A5">
      <w:pPr>
        <w:widowControl/>
        <w:numPr>
          <w:ilvl w:val="0"/>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Call-Off Contract may be awarded on the basis of most economically advantageous tender </w:t>
      </w:r>
      <w:r>
        <w:rPr>
          <w:rFonts w:ascii="Arial" w:eastAsia="Arial" w:hAnsi="Arial" w:cs="Arial"/>
          <w:color w:val="000000"/>
          <w:sz w:val="24"/>
          <w:szCs w:val="24"/>
        </w:rPr>
        <w:t>("MEAT").</w:t>
      </w:r>
    </w:p>
    <w:p w:rsidR="00317499" w:rsidRDefault="009844A5">
      <w:pPr>
        <w:rPr>
          <w:rFonts w:ascii="Arial" w:eastAsia="Arial" w:hAnsi="Arial" w:cs="Arial"/>
          <w:b/>
          <w:smallCaps/>
          <w:sz w:val="24"/>
          <w:szCs w:val="24"/>
        </w:rPr>
      </w:pPr>
      <w:r>
        <w:br w:type="page"/>
      </w:r>
    </w:p>
    <w:p w:rsidR="00317499" w:rsidRDefault="009844A5">
      <w:pPr>
        <w:keepNext/>
        <w:widowControl/>
        <w:pBdr>
          <w:top w:val="nil"/>
          <w:left w:val="nil"/>
          <w:bottom w:val="nil"/>
          <w:right w:val="nil"/>
          <w:between w:val="nil"/>
        </w:pBdr>
        <w:spacing w:before="240" w:after="240"/>
        <w:ind w:firstLine="426"/>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Direct award criteria</w:t>
      </w:r>
    </w:p>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for direct award of each Call-Off.</w:t>
      </w:r>
    </w:p>
    <w:tbl>
      <w:tblPr>
        <w:tblStyle w:val="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3"/>
        <w:gridCol w:w="4513"/>
      </w:tblGrid>
      <w:tr w:rsidR="00317499">
        <w:tc>
          <w:tcPr>
            <w:tcW w:w="0" w:type="auto"/>
          </w:tcPr>
          <w:p w:rsidR="00317499" w:rsidRDefault="009844A5">
            <w:pPr>
              <w:widowControl/>
              <w:pBdr>
                <w:top w:val="nil"/>
                <w:left w:val="nil"/>
                <w:bottom w:val="nil"/>
                <w:right w:val="nil"/>
                <w:between w:val="nil"/>
              </w:pBdr>
              <w:tabs>
                <w:tab w:val="left" w:pos="851"/>
              </w:tabs>
              <w:spacing w:before="120" w:after="120"/>
              <w:jc w:val="both"/>
              <w:rPr>
                <w:rFonts w:ascii="Arial" w:eastAsia="Arial" w:hAnsi="Arial" w:cs="Arial"/>
                <w:color w:val="000000"/>
              </w:rPr>
            </w:pPr>
            <w:r>
              <w:rPr>
                <w:rFonts w:ascii="Arial" w:eastAsia="Arial" w:hAnsi="Arial" w:cs="Arial"/>
                <w:b/>
                <w:color w:val="000000"/>
              </w:rPr>
              <w:t>Criteria</w:t>
            </w:r>
          </w:p>
        </w:tc>
        <w:tc>
          <w:tcPr>
            <w:tcW w:w="0" w:type="auto"/>
          </w:tcPr>
          <w:p w:rsidR="00317499" w:rsidRDefault="009844A5">
            <w:pPr>
              <w:widowControl/>
              <w:pBdr>
                <w:top w:val="nil"/>
                <w:left w:val="nil"/>
                <w:bottom w:val="nil"/>
                <w:right w:val="nil"/>
                <w:between w:val="nil"/>
              </w:pBdr>
              <w:tabs>
                <w:tab w:val="left" w:pos="851"/>
              </w:tabs>
              <w:spacing w:before="120" w:after="120"/>
              <w:jc w:val="both"/>
              <w:rPr>
                <w:rFonts w:ascii="Arial" w:eastAsia="Arial" w:hAnsi="Arial" w:cs="Arial"/>
                <w:b/>
                <w:color w:val="000000"/>
              </w:rPr>
            </w:pPr>
            <w:r>
              <w:rPr>
                <w:rFonts w:ascii="Arial" w:eastAsia="Arial" w:hAnsi="Arial" w:cs="Arial"/>
                <w:b/>
                <w:sz w:val="24"/>
                <w:szCs w:val="24"/>
              </w:rPr>
              <w:t>Relative weighting percentage</w:t>
            </w:r>
          </w:p>
        </w:tc>
      </w:tr>
      <w:tr w:rsidR="00317499">
        <w:tc>
          <w:tcPr>
            <w:tcW w:w="0" w:type="auto"/>
          </w:tcPr>
          <w:p w:rsidR="00317499" w:rsidRDefault="009844A5">
            <w:pPr>
              <w:widowControl/>
              <w:pBdr>
                <w:top w:val="nil"/>
                <w:left w:val="nil"/>
                <w:bottom w:val="nil"/>
                <w:right w:val="nil"/>
                <w:between w:val="nil"/>
              </w:pBdr>
              <w:tabs>
                <w:tab w:val="left" w:pos="851"/>
              </w:tabs>
              <w:rPr>
                <w:rFonts w:ascii="Arial" w:eastAsia="Arial" w:hAnsi="Arial" w:cs="Arial"/>
                <w:color w:val="000000"/>
              </w:rPr>
            </w:pPr>
            <w:r>
              <w:rPr>
                <w:rFonts w:ascii="Arial" w:eastAsia="Arial" w:hAnsi="Arial" w:cs="Arial"/>
                <w:color w:val="000000"/>
                <w:u w:val="single"/>
              </w:rPr>
              <w:t xml:space="preserve">Quality </w:t>
            </w:r>
            <w:r>
              <w:rPr>
                <w:rFonts w:ascii="Arial" w:eastAsia="Arial" w:hAnsi="Arial" w:cs="Arial"/>
                <w:color w:val="000000"/>
              </w:rPr>
              <w:t>- Which may include but is not limited to:</w:t>
            </w:r>
          </w:p>
          <w:p w:rsidR="00317499" w:rsidRDefault="009844A5">
            <w:pPr>
              <w:widowControl/>
              <w:pBdr>
                <w:top w:val="nil"/>
                <w:left w:val="nil"/>
                <w:bottom w:val="nil"/>
                <w:right w:val="nil"/>
                <w:between w:val="nil"/>
              </w:pBdr>
              <w:tabs>
                <w:tab w:val="left" w:pos="592"/>
              </w:tabs>
              <w:ind w:left="592" w:hanging="309"/>
            </w:pPr>
            <w:r>
              <w:t xml:space="preserve">[Delivery time, </w:t>
            </w:r>
          </w:p>
          <w:p w:rsidR="00317499" w:rsidRDefault="009844A5">
            <w:pPr>
              <w:widowControl/>
              <w:pBdr>
                <w:top w:val="nil"/>
                <w:left w:val="nil"/>
                <w:bottom w:val="nil"/>
                <w:right w:val="nil"/>
                <w:between w:val="nil"/>
              </w:pBdr>
              <w:tabs>
                <w:tab w:val="left" w:pos="592"/>
              </w:tabs>
              <w:ind w:left="592" w:hanging="309"/>
            </w:pPr>
            <w:r>
              <w:t xml:space="preserve">Sales service, </w:t>
            </w:r>
          </w:p>
          <w:p w:rsidR="00317499" w:rsidRDefault="009844A5">
            <w:pPr>
              <w:widowControl/>
              <w:pBdr>
                <w:top w:val="nil"/>
                <w:left w:val="nil"/>
                <w:bottom w:val="nil"/>
                <w:right w:val="nil"/>
                <w:between w:val="nil"/>
              </w:pBdr>
              <w:tabs>
                <w:tab w:val="left" w:pos="592"/>
              </w:tabs>
              <w:ind w:left="592" w:hanging="309"/>
            </w:pPr>
            <w:r>
              <w:t xml:space="preserve">Added Value, </w:t>
            </w:r>
          </w:p>
          <w:p w:rsidR="00317499" w:rsidRDefault="009844A5">
            <w:pPr>
              <w:widowControl/>
              <w:pBdr>
                <w:top w:val="nil"/>
                <w:left w:val="nil"/>
                <w:bottom w:val="nil"/>
                <w:right w:val="nil"/>
                <w:between w:val="nil"/>
              </w:pBdr>
              <w:tabs>
                <w:tab w:val="left" w:pos="592"/>
              </w:tabs>
              <w:ind w:left="592" w:hanging="309"/>
            </w:pPr>
            <w:r>
              <w:t>Accessories</w:t>
            </w:r>
          </w:p>
          <w:p w:rsidR="00317499" w:rsidRDefault="009844A5">
            <w:pPr>
              <w:widowControl/>
              <w:pBdr>
                <w:top w:val="nil"/>
                <w:left w:val="nil"/>
                <w:bottom w:val="nil"/>
                <w:right w:val="nil"/>
                <w:between w:val="nil"/>
              </w:pBdr>
              <w:tabs>
                <w:tab w:val="left" w:pos="592"/>
              </w:tabs>
              <w:ind w:left="592" w:hanging="309"/>
            </w:pPr>
            <w:r>
              <w:t>Service fitness for purpose]</w:t>
            </w:r>
          </w:p>
          <w:p w:rsidR="00317499" w:rsidRDefault="009844A5">
            <w:pPr>
              <w:widowControl/>
              <w:pBdr>
                <w:top w:val="nil"/>
                <w:left w:val="nil"/>
                <w:bottom w:val="nil"/>
                <w:right w:val="nil"/>
                <w:between w:val="nil"/>
              </w:pBdr>
              <w:tabs>
                <w:tab w:val="left" w:pos="309"/>
              </w:tabs>
              <w:ind w:left="309" w:hanging="309"/>
            </w:pPr>
            <w:r>
              <w:t>[Use Of Supply Chain / Partners]</w:t>
            </w:r>
          </w:p>
        </w:tc>
        <w:tc>
          <w:tcPr>
            <w:tcW w:w="0" w:type="auto"/>
          </w:tcPr>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b/>
                <w:sz w:val="24"/>
                <w:szCs w:val="24"/>
              </w:rPr>
              <w:t>10-80%</w:t>
            </w:r>
          </w:p>
        </w:tc>
      </w:tr>
      <w:tr w:rsidR="00317499">
        <w:tc>
          <w:tcPr>
            <w:tcW w:w="0" w:type="auto"/>
          </w:tcPr>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 xml:space="preserve">Price </w:t>
            </w:r>
          </w:p>
        </w:tc>
        <w:tc>
          <w:tcPr>
            <w:tcW w:w="0" w:type="auto"/>
          </w:tcPr>
          <w:p w:rsidR="00317499" w:rsidRDefault="009844A5">
            <w:pPr>
              <w:widowControl/>
              <w:pBdr>
                <w:top w:val="nil"/>
                <w:left w:val="nil"/>
                <w:bottom w:val="nil"/>
                <w:right w:val="nil"/>
                <w:between w:val="nil"/>
              </w:pBdr>
              <w:tabs>
                <w:tab w:val="left" w:pos="851"/>
              </w:tabs>
              <w:spacing w:after="240"/>
              <w:jc w:val="both"/>
              <w:rPr>
                <w:rFonts w:ascii="Arial" w:eastAsia="Arial" w:hAnsi="Arial" w:cs="Arial"/>
                <w:b/>
                <w:sz w:val="24"/>
                <w:szCs w:val="24"/>
              </w:rPr>
            </w:pPr>
            <w:r>
              <w:rPr>
                <w:rFonts w:ascii="Arial" w:eastAsia="Arial" w:hAnsi="Arial" w:cs="Arial"/>
                <w:b/>
                <w:sz w:val="24"/>
                <w:szCs w:val="24"/>
              </w:rPr>
              <w:t>10-80%</w:t>
            </w:r>
          </w:p>
        </w:tc>
      </w:tr>
      <w:tr w:rsidR="00317499">
        <w:tc>
          <w:tcPr>
            <w:tcW w:w="0" w:type="auto"/>
          </w:tcPr>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Social Value</w:t>
            </w:r>
          </w:p>
        </w:tc>
        <w:tc>
          <w:tcPr>
            <w:tcW w:w="0" w:type="auto"/>
          </w:tcPr>
          <w:p w:rsidR="00317499" w:rsidRDefault="009844A5">
            <w:pPr>
              <w:widowControl/>
              <w:pBdr>
                <w:top w:val="nil"/>
                <w:left w:val="nil"/>
                <w:bottom w:val="nil"/>
                <w:right w:val="nil"/>
                <w:between w:val="nil"/>
              </w:pBdr>
              <w:tabs>
                <w:tab w:val="left" w:pos="851"/>
              </w:tabs>
              <w:spacing w:after="240"/>
              <w:jc w:val="both"/>
              <w:rPr>
                <w:rFonts w:ascii="Arial" w:eastAsia="Arial" w:hAnsi="Arial" w:cs="Arial"/>
                <w:b/>
                <w:sz w:val="24"/>
                <w:szCs w:val="24"/>
              </w:rPr>
            </w:pPr>
            <w:r>
              <w:rPr>
                <w:rFonts w:ascii="Arial" w:eastAsia="Arial" w:hAnsi="Arial" w:cs="Arial"/>
                <w:b/>
                <w:sz w:val="24"/>
                <w:szCs w:val="24"/>
              </w:rPr>
              <w:t>10%</w:t>
            </w:r>
          </w:p>
        </w:tc>
      </w:tr>
    </w:tbl>
    <w:p w:rsidR="00317499" w:rsidRDefault="00317499">
      <w:pPr>
        <w:widowControl/>
        <w:pBdr>
          <w:top w:val="nil"/>
          <w:left w:val="nil"/>
          <w:bottom w:val="nil"/>
          <w:right w:val="nil"/>
          <w:between w:val="nil"/>
        </w:pBdr>
        <w:ind w:left="1080"/>
        <w:jc w:val="both"/>
        <w:rPr>
          <w:rFonts w:ascii="Arial" w:eastAsia="Arial" w:hAnsi="Arial" w:cs="Arial"/>
          <w:color w:val="FFFFFF"/>
          <w:sz w:val="24"/>
          <w:szCs w:val="24"/>
        </w:rPr>
      </w:pPr>
    </w:p>
    <w:p w:rsidR="00317499" w:rsidRDefault="009844A5">
      <w:pPr>
        <w:keepNext/>
        <w:widowControl/>
        <w:pBdr>
          <w:top w:val="nil"/>
          <w:left w:val="nil"/>
          <w:bottom w:val="nil"/>
          <w:right w:val="nil"/>
          <w:between w:val="nil"/>
        </w:pBdr>
        <w:spacing w:before="240" w:after="240"/>
      </w:pPr>
      <w:r>
        <w:t>In keeping with PPN 06/20, the Buyer should agree with the Supplier what they can and will do to help work towards the social value priorities set out in the Framework Schedule 1 (Specification).  Buyers should discuss with the Supplier what would be an ap</w:t>
      </w:r>
      <w:r>
        <w:t>propriate and proportionate commitment, and this commitment will form part of the Call-off Contract.  Buyers would then evaluate the Supplier’s performance against this commitment as part of ongoing contract management.</w:t>
      </w:r>
    </w:p>
    <w:p w:rsidR="00317499" w:rsidRDefault="009844A5">
      <w:pPr>
        <w:keepNext/>
        <w:widowControl/>
        <w:pBdr>
          <w:top w:val="nil"/>
          <w:left w:val="nil"/>
          <w:bottom w:val="nil"/>
          <w:right w:val="nil"/>
          <w:between w:val="nil"/>
        </w:pBdr>
        <w:spacing w:before="240" w:after="24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t xml:space="preserve">Annex B: Further Competition Award </w:t>
      </w:r>
      <w:r>
        <w:rPr>
          <w:rFonts w:ascii="Arial Bold" w:eastAsia="Arial Bold" w:hAnsi="Arial Bold" w:cs="Arial Bold"/>
          <w:b/>
          <w:color w:val="000000"/>
          <w:sz w:val="36"/>
          <w:szCs w:val="36"/>
        </w:rPr>
        <w:t>Criteria</w:t>
      </w:r>
    </w:p>
    <w:p w:rsidR="00317499" w:rsidRDefault="009844A5">
      <w:pPr>
        <w:widowControl/>
        <w:tabs>
          <w:tab w:val="left" w:pos="851"/>
        </w:tabs>
        <w:spacing w:after="240"/>
        <w:jc w:val="both"/>
        <w:rPr>
          <w:rFonts w:ascii="Arial" w:eastAsia="Arial" w:hAnsi="Arial" w:cs="Arial"/>
          <w:sz w:val="24"/>
          <w:szCs w:val="24"/>
        </w:rPr>
      </w:pPr>
      <w:r>
        <w:rPr>
          <w:rFonts w:ascii="Arial" w:eastAsia="Arial" w:hAnsi="Arial" w:cs="Arial"/>
          <w:sz w:val="24"/>
          <w:szCs w:val="24"/>
        </w:rPr>
        <w:t>Where there are 2 or more Suppliers who could provide the Buyer’s requirements a Further Competition Procedure shall be undertaken.</w:t>
      </w:r>
    </w:p>
    <w:p w:rsidR="00317499" w:rsidRDefault="009844A5">
      <w:pPr>
        <w:widowControl/>
        <w:tabs>
          <w:tab w:val="left" w:pos="851"/>
        </w:tabs>
        <w:spacing w:after="240"/>
        <w:jc w:val="both"/>
        <w:rPr>
          <w:rFonts w:ascii="Arial" w:eastAsia="Arial" w:hAnsi="Arial" w:cs="Arial"/>
          <w:sz w:val="24"/>
          <w:szCs w:val="24"/>
        </w:rPr>
      </w:pPr>
      <w:r>
        <w:rPr>
          <w:rFonts w:ascii="Arial" w:eastAsia="Arial" w:hAnsi="Arial" w:cs="Arial"/>
          <w:sz w:val="24"/>
          <w:szCs w:val="24"/>
        </w:rPr>
        <w:t>If there is one supplier on a lot, and you require Deliverables that are not laid down in this Contract, you should approach the supplier to agree as paragraph 3 above.</w:t>
      </w:r>
    </w:p>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of tenders received</w:t>
      </w:r>
      <w:r>
        <w:rPr>
          <w:rFonts w:ascii="Arial" w:eastAsia="Arial" w:hAnsi="Arial" w:cs="Arial"/>
          <w:color w:val="000000"/>
          <w:sz w:val="24"/>
          <w:szCs w:val="24"/>
        </w:rPr>
        <w:t xml:space="preserve"> through the Further Competition Procedure:</w:t>
      </w:r>
    </w:p>
    <w:tbl>
      <w:tblPr>
        <w:tblStyle w:val="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8"/>
        <w:gridCol w:w="3008"/>
        <w:gridCol w:w="3008"/>
      </w:tblGrid>
      <w:tr w:rsidR="00317499">
        <w:tc>
          <w:tcPr>
            <w:tcW w:w="0" w:type="auto"/>
            <w:shd w:val="clear" w:color="auto" w:fill="E7E6E6"/>
          </w:tcPr>
          <w:p w:rsidR="00317499" w:rsidRDefault="009844A5">
            <w:pPr>
              <w:widowControl/>
              <w:pBdr>
                <w:top w:val="nil"/>
                <w:left w:val="nil"/>
                <w:bottom w:val="nil"/>
                <w:right w:val="nil"/>
                <w:between w:val="nil"/>
              </w:pBdr>
              <w:tabs>
                <w:tab w:val="left" w:pos="851"/>
              </w:tabs>
              <w:spacing w:before="120" w:after="120"/>
              <w:jc w:val="both"/>
              <w:rPr>
                <w:rFonts w:ascii="Arial" w:eastAsia="Arial" w:hAnsi="Arial" w:cs="Arial"/>
                <w:color w:val="000000"/>
                <w:sz w:val="24"/>
                <w:szCs w:val="24"/>
              </w:rPr>
            </w:pPr>
            <w:r>
              <w:rPr>
                <w:rFonts w:ascii="Arial" w:eastAsia="Arial" w:hAnsi="Arial" w:cs="Arial"/>
                <w:color w:val="000000"/>
                <w:sz w:val="24"/>
                <w:szCs w:val="24"/>
              </w:rPr>
              <w:t>Criteria</w:t>
            </w:r>
          </w:p>
        </w:tc>
        <w:tc>
          <w:tcPr>
            <w:tcW w:w="0" w:type="auto"/>
            <w:shd w:val="clear" w:color="auto" w:fill="E7E6E6"/>
          </w:tcPr>
          <w:p w:rsidR="00317499" w:rsidRDefault="009844A5">
            <w:pPr>
              <w:widowControl/>
              <w:pBdr>
                <w:top w:val="nil"/>
                <w:left w:val="nil"/>
                <w:bottom w:val="nil"/>
                <w:right w:val="nil"/>
                <w:between w:val="nil"/>
              </w:pBdr>
              <w:tabs>
                <w:tab w:val="left" w:pos="851"/>
              </w:tabs>
              <w:spacing w:before="120" w:after="120"/>
              <w:jc w:val="both"/>
              <w:rPr>
                <w:rFonts w:ascii="Arial" w:eastAsia="Arial" w:hAnsi="Arial" w:cs="Arial"/>
                <w:color w:val="000000"/>
                <w:sz w:val="24"/>
                <w:szCs w:val="24"/>
              </w:rPr>
            </w:pPr>
            <w:r>
              <w:rPr>
                <w:rFonts w:ascii="Arial" w:eastAsia="Arial" w:hAnsi="Arial" w:cs="Arial"/>
                <w:color w:val="000000"/>
                <w:sz w:val="24"/>
                <w:szCs w:val="24"/>
              </w:rPr>
              <w:t>Percentage Weightings - to be set by the Customer  conducting the Further Competition Procedure</w:t>
            </w:r>
          </w:p>
        </w:tc>
        <w:tc>
          <w:tcPr>
            <w:tcW w:w="0" w:type="auto"/>
            <w:shd w:val="clear" w:color="auto" w:fill="E7E6E6"/>
          </w:tcPr>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 xml:space="preserve">Allowable Variance </w:t>
            </w:r>
          </w:p>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 xml:space="preserve">(This may be modified by the Customer within the range below) </w:t>
            </w:r>
          </w:p>
        </w:tc>
      </w:tr>
      <w:tr w:rsidR="00317499">
        <w:tc>
          <w:tcPr>
            <w:tcW w:w="0" w:type="auto"/>
          </w:tcPr>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 xml:space="preserve">Quality </w:t>
            </w:r>
          </w:p>
          <w:p w:rsidR="00317499" w:rsidRDefault="009844A5">
            <w:pPr>
              <w:widowControl/>
              <w:pBdr>
                <w:top w:val="nil"/>
                <w:left w:val="nil"/>
                <w:bottom w:val="nil"/>
                <w:right w:val="nil"/>
                <w:between w:val="nil"/>
              </w:pBdr>
              <w:tabs>
                <w:tab w:val="left" w:pos="592"/>
              </w:tabs>
              <w:ind w:left="592" w:hanging="309"/>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color w:val="000000"/>
                <w:sz w:val="24"/>
                <w:szCs w:val="24"/>
              </w:rPr>
              <w:tab/>
              <w:t>Added Value</w:t>
            </w:r>
          </w:p>
          <w:p w:rsidR="00317499" w:rsidRDefault="009844A5">
            <w:pPr>
              <w:widowControl/>
              <w:pBdr>
                <w:top w:val="nil"/>
                <w:left w:val="nil"/>
                <w:bottom w:val="nil"/>
                <w:right w:val="nil"/>
                <w:between w:val="nil"/>
              </w:pBdr>
              <w:tabs>
                <w:tab w:val="left" w:pos="592"/>
              </w:tabs>
              <w:ind w:left="592" w:hanging="309"/>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color w:val="000000"/>
                <w:sz w:val="24"/>
                <w:szCs w:val="24"/>
              </w:rPr>
              <w:tab/>
              <w:t>Innovation</w:t>
            </w:r>
          </w:p>
          <w:p w:rsidR="00317499" w:rsidRDefault="009844A5">
            <w:pPr>
              <w:widowControl/>
              <w:pBdr>
                <w:top w:val="nil"/>
                <w:left w:val="nil"/>
                <w:bottom w:val="nil"/>
                <w:right w:val="nil"/>
                <w:between w:val="nil"/>
              </w:pBdr>
              <w:tabs>
                <w:tab w:val="left" w:pos="592"/>
              </w:tabs>
              <w:ind w:left="592" w:hanging="309"/>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color w:val="000000"/>
                <w:sz w:val="24"/>
                <w:szCs w:val="24"/>
              </w:rPr>
              <w:tab/>
              <w:t>Approach To Delivery Of The Services</w:t>
            </w:r>
          </w:p>
          <w:p w:rsidR="00317499" w:rsidRDefault="009844A5">
            <w:pPr>
              <w:widowControl/>
              <w:pBdr>
                <w:top w:val="nil"/>
                <w:left w:val="nil"/>
                <w:bottom w:val="nil"/>
                <w:right w:val="nil"/>
                <w:between w:val="nil"/>
              </w:pBdr>
              <w:tabs>
                <w:tab w:val="left" w:pos="592"/>
              </w:tabs>
              <w:ind w:left="592" w:hanging="309"/>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color w:val="000000"/>
                <w:sz w:val="24"/>
                <w:szCs w:val="24"/>
              </w:rPr>
              <w:tab/>
              <w:t>Implementation</w:t>
            </w:r>
          </w:p>
          <w:p w:rsidR="00317499" w:rsidRDefault="009844A5">
            <w:pPr>
              <w:widowControl/>
              <w:pBdr>
                <w:top w:val="nil"/>
                <w:left w:val="nil"/>
                <w:bottom w:val="nil"/>
                <w:right w:val="nil"/>
                <w:between w:val="nil"/>
              </w:pBdr>
              <w:tabs>
                <w:tab w:val="left" w:pos="592"/>
              </w:tabs>
              <w:ind w:left="592" w:hanging="309"/>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color w:val="000000"/>
                <w:sz w:val="24"/>
                <w:szCs w:val="24"/>
              </w:rPr>
              <w:tab/>
              <w:t>Use Of Supply Chain / Partners</w:t>
            </w:r>
          </w:p>
          <w:p w:rsidR="00317499" w:rsidRDefault="00317499">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tc>
        <w:tc>
          <w:tcPr>
            <w:tcW w:w="0" w:type="auto"/>
          </w:tcPr>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45%</w:t>
            </w:r>
          </w:p>
        </w:tc>
        <w:tc>
          <w:tcPr>
            <w:tcW w:w="0" w:type="auto"/>
          </w:tcPr>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10%-80%</w:t>
            </w:r>
          </w:p>
        </w:tc>
      </w:tr>
      <w:tr w:rsidR="00317499">
        <w:tc>
          <w:tcPr>
            <w:tcW w:w="0" w:type="auto"/>
          </w:tcPr>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bookmarkStart w:id="10" w:name="_heading=h.26in1rg" w:colFirst="0" w:colLast="0"/>
            <w:bookmarkEnd w:id="10"/>
            <w:r>
              <w:rPr>
                <w:rFonts w:ascii="Arial" w:eastAsia="Arial" w:hAnsi="Arial" w:cs="Arial"/>
                <w:color w:val="000000"/>
                <w:sz w:val="24"/>
                <w:szCs w:val="24"/>
              </w:rPr>
              <w:t>Price  (life cycle costs, cost effectiveness &amp; price; price and running costs)]</w:t>
            </w:r>
          </w:p>
        </w:tc>
        <w:tc>
          <w:tcPr>
            <w:tcW w:w="0" w:type="auto"/>
          </w:tcPr>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45%</w:t>
            </w:r>
          </w:p>
        </w:tc>
        <w:tc>
          <w:tcPr>
            <w:tcW w:w="0" w:type="auto"/>
          </w:tcPr>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10%-80%</w:t>
            </w:r>
          </w:p>
        </w:tc>
      </w:tr>
      <w:tr w:rsidR="00317499">
        <w:tc>
          <w:tcPr>
            <w:tcW w:w="0" w:type="auto"/>
          </w:tcPr>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Social Value</w:t>
            </w:r>
          </w:p>
        </w:tc>
        <w:tc>
          <w:tcPr>
            <w:tcW w:w="0" w:type="auto"/>
          </w:tcPr>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10%</w:t>
            </w:r>
          </w:p>
        </w:tc>
        <w:tc>
          <w:tcPr>
            <w:tcW w:w="0" w:type="auto"/>
          </w:tcPr>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sz w:val="24"/>
                <w:szCs w:val="24"/>
              </w:rPr>
              <w:t>10% Minimum</w:t>
            </w:r>
          </w:p>
        </w:tc>
      </w:tr>
    </w:tbl>
    <w:p w:rsidR="00317499" w:rsidRDefault="00317499">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p w:rsidR="00317499" w:rsidRDefault="009844A5">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total weighting must equal 100% with Social Value composing a minimum of 10% in keeping with PPN 06/20 and guidance document 12/20 may have their own social value priorities which they will make clear to the suppliers involved in that competition. To t</w:t>
      </w:r>
      <w:r>
        <w:rPr>
          <w:rFonts w:ascii="Arial" w:eastAsia="Arial" w:hAnsi="Arial" w:cs="Arial"/>
          <w:color w:val="000000"/>
          <w:sz w:val="24"/>
          <w:szCs w:val="24"/>
        </w:rPr>
        <w:t>est the tenderers’ social value during the call-off stage, buyers must adhere to the standard evaluation procedure,including the award criteria and sub-criteria, described in the framework agreement terms, conditions and instructions.</w:t>
      </w:r>
    </w:p>
    <w:p w:rsidR="00317499" w:rsidRDefault="00317499">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p w:rsidR="00317499" w:rsidRDefault="00317499">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sectPr w:rsidR="0031749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p>
    <w:p w:rsidR="00317499" w:rsidRDefault="00317499">
      <w:pPr>
        <w:widowControl/>
        <w:pBdr>
          <w:top w:val="nil"/>
          <w:left w:val="nil"/>
          <w:bottom w:val="nil"/>
          <w:right w:val="nil"/>
          <w:between w:val="nil"/>
        </w:pBdr>
        <w:jc w:val="both"/>
        <w:rPr>
          <w:rFonts w:ascii="Arial" w:eastAsia="Arial" w:hAnsi="Arial" w:cs="Arial"/>
          <w:color w:val="FFFFFF"/>
          <w:sz w:val="24"/>
          <w:szCs w:val="24"/>
        </w:rPr>
      </w:pPr>
    </w:p>
    <w:sectPr w:rsidR="00317499">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44A5" w:rsidRDefault="009844A5">
      <w:r>
        <w:separator/>
      </w:r>
    </w:p>
  </w:endnote>
  <w:endnote w:type="continuationSeparator" w:id="0">
    <w:p w:rsidR="009844A5" w:rsidRDefault="00984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499" w:rsidRDefault="00317499">
    <w:pPr>
      <w:widowControl/>
      <w:pBdr>
        <w:top w:val="nil"/>
        <w:left w:val="nil"/>
        <w:bottom w:val="nil"/>
        <w:right w:val="nil"/>
        <w:between w:val="nil"/>
      </w:pBdr>
      <w:tabs>
        <w:tab w:val="center" w:pos="4513"/>
        <w:tab w:val="right" w:pos="9026"/>
      </w:tabs>
      <w:jc w:val="both"/>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499" w:rsidRDefault="009844A5">
    <w:pPr>
      <w:tabs>
        <w:tab w:val="center" w:pos="4513"/>
        <w:tab w:val="right" w:pos="9026"/>
      </w:tabs>
      <w:rPr>
        <w:rFonts w:ascii="Arial" w:eastAsia="Arial" w:hAnsi="Arial" w:cs="Arial"/>
        <w:sz w:val="20"/>
        <w:szCs w:val="20"/>
      </w:rPr>
    </w:pPr>
    <w:r>
      <w:rPr>
        <w:rFonts w:ascii="Arial" w:eastAsia="Arial" w:hAnsi="Arial" w:cs="Arial"/>
        <w:sz w:val="20"/>
        <w:szCs w:val="20"/>
      </w:rPr>
      <w:t>Framework Ref: RM6342</w:t>
    </w:r>
    <w:r>
      <w:rPr>
        <w:rFonts w:ascii="Arial" w:eastAsia="Arial" w:hAnsi="Arial" w:cs="Arial"/>
        <w:sz w:val="20"/>
        <w:szCs w:val="20"/>
      </w:rPr>
      <w:tab/>
    </w:r>
    <w:r>
      <w:rPr>
        <w:rFonts w:ascii="Arial" w:eastAsia="Arial" w:hAnsi="Arial" w:cs="Arial"/>
        <w:sz w:val="20"/>
        <w:szCs w:val="20"/>
      </w:rPr>
      <w:t xml:space="preserve">                                           </w:t>
    </w:r>
  </w:p>
  <w:p w:rsidR="00317499" w:rsidRDefault="009844A5">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624C35">
      <w:rPr>
        <w:rFonts w:ascii="Arial" w:eastAsia="Arial" w:hAnsi="Arial" w:cs="Arial"/>
        <w:color w:val="000000"/>
        <w:sz w:val="20"/>
        <w:szCs w:val="20"/>
      </w:rPr>
      <w:fldChar w:fldCharType="separate"/>
    </w:r>
    <w:r w:rsidR="00624C35">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317499" w:rsidRDefault="009844A5">
    <w:pPr>
      <w:tabs>
        <w:tab w:val="left" w:pos="720"/>
        <w:tab w:val="left" w:pos="1440"/>
        <w:tab w:val="left" w:pos="2160"/>
        <w:tab w:val="left" w:pos="2880"/>
        <w:tab w:val="left" w:pos="3600"/>
        <w:tab w:val="center" w:pos="4513"/>
      </w:tabs>
      <w:rPr>
        <w:rFonts w:ascii="Arial" w:eastAsia="Arial" w:hAnsi="Arial" w:cs="Arial"/>
        <w:sz w:val="20"/>
        <w:szCs w:val="20"/>
      </w:rPr>
    </w:pPr>
    <w:bookmarkStart w:id="11" w:name="_heading=h.gjdgxs" w:colFirst="0" w:colLast="0"/>
    <w:bookmarkEnd w:id="11"/>
    <w:r>
      <w:rPr>
        <w:rFonts w:ascii="Arial" w:eastAsia="Arial" w:hAnsi="Arial" w:cs="Arial"/>
        <w:sz w:val="20"/>
        <w:szCs w:val="20"/>
      </w:rPr>
      <w:t>Model Version : v3.3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499" w:rsidRDefault="00317499">
    <w:pPr>
      <w:widowControl/>
      <w:pBdr>
        <w:top w:val="nil"/>
        <w:left w:val="nil"/>
        <w:bottom w:val="nil"/>
        <w:right w:val="nil"/>
        <w:between w:val="nil"/>
      </w:pBdr>
      <w:tabs>
        <w:tab w:val="center" w:pos="4513"/>
        <w:tab w:val="right" w:pos="9026"/>
      </w:tabs>
      <w:jc w:val="both"/>
      <w:rPr>
        <w:color w:val="000000"/>
      </w:rPr>
    </w:pPr>
  </w:p>
  <w:p w:rsidR="00317499" w:rsidRDefault="009844A5">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rsidR="00317499" w:rsidRDefault="009844A5">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rsidR="00317499" w:rsidRDefault="009844A5">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44A5" w:rsidRDefault="009844A5">
      <w:r>
        <w:separator/>
      </w:r>
    </w:p>
  </w:footnote>
  <w:footnote w:type="continuationSeparator" w:id="0">
    <w:p w:rsidR="009844A5" w:rsidRDefault="00984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499" w:rsidRDefault="00317499">
    <w:pPr>
      <w:widowControl/>
      <w:pBdr>
        <w:top w:val="nil"/>
        <w:left w:val="nil"/>
        <w:bottom w:val="nil"/>
        <w:right w:val="nil"/>
        <w:between w:val="nil"/>
      </w:pBdr>
      <w:tabs>
        <w:tab w:val="center" w:pos="4513"/>
        <w:tab w:val="right" w:pos="9026"/>
      </w:tabs>
      <w:jc w:val="both"/>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499" w:rsidRDefault="009844A5">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rsidR="00317499" w:rsidRDefault="009844A5">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499" w:rsidRDefault="009844A5">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rsidR="00317499" w:rsidRDefault="009844A5">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rsidR="00317499" w:rsidRDefault="00317499">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96ADE"/>
    <w:multiLevelType w:val="multilevel"/>
    <w:tmpl w:val="470277C0"/>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1" w15:restartNumberingAfterBreak="0">
    <w:nsid w:val="4D6726E4"/>
    <w:multiLevelType w:val="multilevel"/>
    <w:tmpl w:val="4EE4D626"/>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A4457EF"/>
    <w:multiLevelType w:val="multilevel"/>
    <w:tmpl w:val="56E4C4CA"/>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7DD47CE2"/>
    <w:multiLevelType w:val="multilevel"/>
    <w:tmpl w:val="834C78AE"/>
    <w:lvl w:ilvl="0">
      <w:start w:val="1"/>
      <w:numFmt w:val="decimal"/>
      <w:pStyle w:val="FAMainHeading"/>
      <w:lvlText w:val="%1."/>
      <w:lvlJc w:val="left"/>
      <w:pPr>
        <w:tabs>
          <w:tab w:val="num" w:pos="720"/>
        </w:tabs>
        <w:ind w:left="720" w:hanging="720"/>
      </w:pPr>
    </w:lvl>
    <w:lvl w:ilvl="1">
      <w:start w:val="1"/>
      <w:numFmt w:val="decimal"/>
      <w:pStyle w:val="FALevel1"/>
      <w:lvlText w:val="%2."/>
      <w:lvlJc w:val="left"/>
      <w:pPr>
        <w:tabs>
          <w:tab w:val="num" w:pos="1440"/>
        </w:tabs>
        <w:ind w:left="1440" w:hanging="720"/>
      </w:pPr>
    </w:lvl>
    <w:lvl w:ilvl="2">
      <w:start w:val="1"/>
      <w:numFmt w:val="decimal"/>
      <w:pStyle w:val="FALevel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499"/>
    <w:rsid w:val="00317499"/>
    <w:rsid w:val="00624C35"/>
    <w:rsid w:val="009844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0B8E73-E4AA-43D8-8432-A68AB024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0484"/>
  </w:style>
  <w:style w:type="paragraph" w:styleId="Heading1">
    <w:name w:val="heading 1"/>
    <w:basedOn w:val="Normal"/>
    <w:next w:val="Normal"/>
    <w:link w:val="Heading1Char"/>
    <w:uiPriority w:val="9"/>
    <w:qFormat/>
    <w:rsid w:val="00532FD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style>
  <w:style w:type="numbering" w:customStyle="1" w:styleId="WWNum1">
    <w:name w:val="WWNum1"/>
    <w:basedOn w:val="NoList"/>
  </w:style>
  <w:style w:type="numbering" w:customStyle="1" w:styleId="WWNum2">
    <w:name w:val="WWNum2"/>
    <w:basedOn w:val="NoList"/>
  </w:style>
  <w:style w:type="numbering" w:customStyle="1" w:styleId="WWNum3">
    <w:name w:val="WWNum3"/>
    <w:basedOn w:val="NoList"/>
  </w:style>
  <w:style w:type="numbering" w:customStyle="1" w:styleId="WWNum4">
    <w:name w:val="WWNum4"/>
    <w:basedOn w:val="NoList"/>
  </w:style>
  <w:style w:type="numbering" w:customStyle="1" w:styleId="WWNum5">
    <w:name w:val="WWNum5"/>
    <w:basedOn w:val="NoList"/>
  </w:style>
  <w:style w:type="numbering" w:customStyle="1" w:styleId="WWNum6">
    <w:name w:val="WWNum6"/>
    <w:basedOn w:val="NoList"/>
  </w:style>
  <w:style w:type="numbering" w:customStyle="1" w:styleId="WWNum7">
    <w:name w:val="WWNum7"/>
    <w:basedOn w:val="NoList"/>
  </w:style>
  <w:style w:type="numbering" w:customStyle="1" w:styleId="WWNum8">
    <w:name w:val="WWNum8"/>
    <w:basedOn w:val="NoList"/>
  </w:style>
  <w:style w:type="numbering" w:customStyle="1" w:styleId="WWNum9">
    <w:name w:val="WWNum9"/>
    <w:basedOn w:val="NoList"/>
  </w:style>
  <w:style w:type="numbering" w:customStyle="1" w:styleId="WWNum10">
    <w:name w:val="WWNum10"/>
    <w:basedOn w:val="NoList"/>
  </w:style>
  <w:style w:type="numbering" w:customStyle="1" w:styleId="WWNum11">
    <w:name w:val="WWNum11"/>
    <w:basedOn w:val="NoList"/>
  </w:style>
  <w:style w:type="numbering" w:customStyle="1" w:styleId="WWNum12">
    <w:name w:val="WWNum12"/>
    <w:basedOn w:val="NoList"/>
  </w:style>
  <w:style w:type="numbering" w:customStyle="1" w:styleId="WWNum13">
    <w:name w:val="WWNum13"/>
    <w:basedOn w:val="NoList"/>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MainHeading">
    <w:name w:val="FA: Main Heading"/>
    <w:basedOn w:val="Heading1"/>
    <w:qFormat/>
    <w:rsid w:val="00532FDD"/>
    <w:pPr>
      <w:numPr>
        <w:numId w:val="4"/>
      </w:numPr>
      <w:tabs>
        <w:tab w:val="num" w:pos="360"/>
      </w:tabs>
      <w:spacing w:before="20" w:after="20"/>
      <w:ind w:left="0" w:firstLine="0"/>
    </w:pPr>
    <w:rPr>
      <w:rFonts w:ascii="Arial" w:eastAsia="Calibri" w:hAnsi="Arial" w:cs="Arial"/>
      <w:b/>
      <w:color w:val="auto"/>
      <w:sz w:val="22"/>
      <w:szCs w:val="36"/>
    </w:rPr>
  </w:style>
  <w:style w:type="paragraph" w:customStyle="1" w:styleId="FALevel1">
    <w:name w:val="FA: Level 1"/>
    <w:basedOn w:val="Normal"/>
    <w:link w:val="FALevel1Char"/>
    <w:qFormat/>
    <w:rsid w:val="00532FDD"/>
    <w:pPr>
      <w:widowControl/>
      <w:numPr>
        <w:ilvl w:val="1"/>
        <w:numId w:val="4"/>
      </w:numPr>
      <w:spacing w:before="120" w:after="280" w:line="259" w:lineRule="auto"/>
    </w:pPr>
    <w:rPr>
      <w:rFonts w:ascii="Arial" w:eastAsiaTheme="minorHAnsi" w:hAnsi="Arial" w:cs="Arial"/>
    </w:rPr>
  </w:style>
  <w:style w:type="character" w:customStyle="1" w:styleId="FALevel1Char">
    <w:name w:val="FA: Level 1 Char"/>
    <w:basedOn w:val="DefaultParagraphFont"/>
    <w:link w:val="FALevel1"/>
    <w:rsid w:val="00532FDD"/>
    <w:rPr>
      <w:rFonts w:ascii="Arial" w:eastAsiaTheme="minorHAnsi" w:hAnsi="Arial" w:cs="Arial"/>
    </w:rPr>
  </w:style>
  <w:style w:type="paragraph" w:customStyle="1" w:styleId="FALevel2">
    <w:name w:val="FA: Level 2"/>
    <w:basedOn w:val="Normal"/>
    <w:link w:val="FALevel2Char"/>
    <w:qFormat/>
    <w:rsid w:val="00532FDD"/>
    <w:pPr>
      <w:widowControl/>
      <w:numPr>
        <w:ilvl w:val="2"/>
        <w:numId w:val="4"/>
      </w:numPr>
      <w:spacing w:before="120" w:after="280" w:line="259" w:lineRule="auto"/>
    </w:pPr>
    <w:rPr>
      <w:rFonts w:ascii="Arial" w:eastAsiaTheme="minorHAnsi" w:hAnsi="Arial" w:cs="Arial"/>
    </w:rPr>
  </w:style>
  <w:style w:type="character" w:customStyle="1" w:styleId="FALevel2Char">
    <w:name w:val="FA: Level 2 Char"/>
    <w:basedOn w:val="DefaultParagraphFont"/>
    <w:link w:val="FALevel2"/>
    <w:rsid w:val="00532FDD"/>
    <w:rPr>
      <w:rFonts w:ascii="Arial" w:eastAsiaTheme="minorHAnsi" w:hAnsi="Arial" w:cs="Arial"/>
    </w:rPr>
  </w:style>
  <w:style w:type="character" w:customStyle="1" w:styleId="Heading1Char">
    <w:name w:val="Heading 1 Char"/>
    <w:basedOn w:val="DefaultParagraphFont"/>
    <w:link w:val="Heading1"/>
    <w:uiPriority w:val="9"/>
    <w:rsid w:val="00532FDD"/>
    <w:rPr>
      <w:rFonts w:asciiTheme="majorHAnsi" w:eastAsiaTheme="majorEastAsia" w:hAnsiTheme="majorHAnsi" w:cstheme="majorBidi"/>
      <w:color w:val="2F5496" w:themeColor="accent1" w:themeShade="BF"/>
      <w:sz w:val="32"/>
      <w:szCs w:val="32"/>
    </w:rPr>
  </w:style>
  <w:style w:type="paragraph" w:customStyle="1" w:styleId="FABulletPoints">
    <w:name w:val="FA: Bullet Points"/>
    <w:basedOn w:val="Normal"/>
    <w:link w:val="FABulletPointsChar"/>
    <w:qFormat/>
    <w:rsid w:val="00532FDD"/>
    <w:pPr>
      <w:widowControl/>
      <w:tabs>
        <w:tab w:val="num" w:pos="720"/>
      </w:tabs>
      <w:ind w:left="720" w:hanging="720"/>
    </w:pPr>
    <w:rPr>
      <w:rFonts w:ascii="Arial" w:eastAsiaTheme="minorHAnsi" w:hAnsi="Arial" w:cs="Arial"/>
    </w:rPr>
  </w:style>
  <w:style w:type="character" w:customStyle="1" w:styleId="FABulletPointsChar">
    <w:name w:val="FA: Bullet Points Char"/>
    <w:basedOn w:val="DefaultParagraphFont"/>
    <w:link w:val="FABulletPoints"/>
    <w:rsid w:val="00532FDD"/>
    <w:rPr>
      <w:rFonts w:ascii="Arial" w:eastAsiaTheme="minorHAnsi" w:hAnsi="Arial" w:cs="Arial"/>
    </w:rPr>
  </w:style>
  <w:style w:type="paragraph" w:styleId="Revision">
    <w:name w:val="Revision"/>
    <w:hidden/>
    <w:uiPriority w:val="99"/>
    <w:semiHidden/>
    <w:rsid w:val="00CE0EDB"/>
    <w:pPr>
      <w:widowControl/>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500484"/>
    <w:pPr>
      <w:ind w:left="720"/>
      <w:contextualSpacing/>
    </w:p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tmz7yPbxLCwRDASQ3TcntiqkrA==">CgMxLjAyCWlkLmdqZGd4czIJaC4zMGowemxsMgloLjFmb2I5dGUyCWguM3pueXNoNzIJaC4yZXQ5MnAwMghoLnR5amN3dDIJaC4zZHk2dmttMgloLjF0M2g1c2YyCWguM3JkY3JqbjIJaC4yNmluMXJnMghoLmdqZGd4czgAaiQKFHN1Z2dlc3QuNGhxNzh0NnlrbGY4EgxUaW5hIENhbWVyb25qJAoUc3VnZ2VzdC56NGxjdXk1M3F3aDASDFRpbmEgQ2FtZXJvbmpECjVzdWdnZXN0SWRJbXBvcnQ0MmQzNzk3My00MzdkLTQ1MTEtOTIyNS0zOTZlYmYwYjczY2RfMRILU2FsIFRlbXBlcmFqRQo2c3VnZ2VzdElkSW1wb3J0NDJkMzc5NzMtNDM3ZC00NTExLTkyMjUtMzk2ZWJmMGI3M2NkXzI2EgtTYWwgVGVtcGVyYWokChRzdWdnZXN0Lm50N2tlempqdjZ4aRIMVGluYSBDYW1lcm9uakQKNXN1Z2dlc3RJZEltcG9ydDQyZDM3OTczLTQzN2QtNDUxMS05MjI1LTM5NmViZjBiNzNjZF8yEgtTYWwgVGVtcGVyYWpECjVzdWdnZXN0SWRJbXBvcnQ0MmQzNzk3My00MzdkLTQ1MTEtOTIyNS0zOTZlYmYwYjczY2RfNRILU2FsIFRlbXBlcmFqRAo1c3VnZ2VzdElkSW1wb3J0NDJkMzc5NzMtNDM3ZC00NTExLTkyMjUtMzk2ZWJmMGI3M2NkXzYSC1NhbCBUZW1wZXJhakUKNnN1Z2dlc3RJZEltcG9ydDQyZDM3OTczLTQzN2QtNDUxMS05MjI1LTM5NmViZjBiNzNjZF8yMRILU2FsIFRlbXBlcmFqRQo2c3VnZ2VzdElkSW1wb3J0NDJkMzc5NzMtNDM3ZC00NTExLTkyMjUtMzk2ZWJmMGI3M2NkXzE2EgtTYWwgVGVtcGVyYWpFCjZzdWdnZXN0SWRJbXBvcnQ0MmQzNzk3My00MzdkLTQ1MTEtOTIyNS0zOTZlYmYwYjczY2RfMTMSC1NhbCBUZW1wZXJhakUKNnN1Z2dlc3RJZEltcG9ydDQyZDM3OTczLTQzN2QtNDUxMS05MjI1LTM5NmViZjBiNzNjZF8xMRILU2FsIFRlbXBlcmFqJAoUc3VnZ2VzdC5yN2x5cmx0cmt1aWoSDFRpbmEgQ2FtZXJvbmokChRzdWdnZXN0Lm1xNGx0bGF4Nm53OBIMVGluYSBDYW1lcm9uciExUU5mLTAzQXdfSEZERmdYcm5NQXc4VFdtNjBFQkgwN0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2001</Words>
  <Characters>11412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Gavin Scott</cp:lastModifiedBy>
  <cp:revision>1</cp:revision>
  <dcterms:created xsi:type="dcterms:W3CDTF">2024-01-16T18:36:00Z</dcterms:created>
  <dcterms:modified xsi:type="dcterms:W3CDTF">2024-05-30T13:21:00Z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